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EB6C" w14:textId="6BA97179" w:rsidR="00CA56A4" w:rsidRPr="00CE689D" w:rsidRDefault="00CA56A4" w:rsidP="00CE689D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CE689D">
        <w:rPr>
          <w:rFonts w:ascii="Garamond" w:hAnsi="Garamond"/>
          <w:b/>
          <w:bCs/>
          <w:sz w:val="24"/>
          <w:szCs w:val="24"/>
        </w:rPr>
        <w:t>Abridged CV - Dr Jacob Novignon</w:t>
      </w:r>
    </w:p>
    <w:p w14:paraId="2816AC13" w14:textId="256B0276" w:rsidR="007D7D44" w:rsidRPr="00CE689D" w:rsidRDefault="001B7A9F" w:rsidP="00CE689D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E689D">
        <w:rPr>
          <w:rFonts w:ascii="Garamond" w:hAnsi="Garamond"/>
          <w:sz w:val="24"/>
          <w:szCs w:val="24"/>
        </w:rPr>
        <w:t xml:space="preserve">Jacob Novignon </w:t>
      </w:r>
      <w:r w:rsidR="00FD212E" w:rsidRPr="00CE689D">
        <w:rPr>
          <w:rFonts w:ascii="Garamond" w:hAnsi="Garamond"/>
          <w:sz w:val="24"/>
          <w:szCs w:val="24"/>
        </w:rPr>
        <w:t xml:space="preserve">is a </w:t>
      </w:r>
      <w:r w:rsidR="003B644F" w:rsidRPr="00CE689D">
        <w:rPr>
          <w:rFonts w:ascii="Garamond" w:hAnsi="Garamond"/>
          <w:sz w:val="24"/>
          <w:szCs w:val="24"/>
        </w:rPr>
        <w:t xml:space="preserve">senior </w:t>
      </w:r>
      <w:r w:rsidR="00FD212E" w:rsidRPr="00CE689D">
        <w:rPr>
          <w:rFonts w:ascii="Garamond" w:hAnsi="Garamond"/>
          <w:sz w:val="24"/>
          <w:szCs w:val="24"/>
        </w:rPr>
        <w:t>lecturer at</w:t>
      </w:r>
      <w:r w:rsidR="007B46B6" w:rsidRPr="00CE689D">
        <w:rPr>
          <w:rFonts w:ascii="Garamond" w:hAnsi="Garamond"/>
          <w:sz w:val="24"/>
          <w:szCs w:val="24"/>
        </w:rPr>
        <w:t xml:space="preserve"> th</w:t>
      </w:r>
      <w:r w:rsidR="00FD212E" w:rsidRPr="00CE689D">
        <w:rPr>
          <w:rFonts w:ascii="Garamond" w:hAnsi="Garamond"/>
          <w:sz w:val="24"/>
          <w:szCs w:val="24"/>
        </w:rPr>
        <w:t>e Department of Economics,</w:t>
      </w:r>
      <w:r w:rsidR="007B46B6" w:rsidRPr="00CE689D">
        <w:rPr>
          <w:rFonts w:ascii="Garamond" w:hAnsi="Garamond"/>
          <w:sz w:val="24"/>
          <w:szCs w:val="24"/>
        </w:rPr>
        <w:t xml:space="preserve"> Kwame Nkrumah University of Science and Technology</w:t>
      </w:r>
      <w:r w:rsidR="00FD212E" w:rsidRPr="00CE689D">
        <w:rPr>
          <w:rFonts w:ascii="Garamond" w:hAnsi="Garamond"/>
          <w:sz w:val="24"/>
          <w:szCs w:val="24"/>
        </w:rPr>
        <w:t xml:space="preserve"> - Ghana</w:t>
      </w:r>
      <w:r w:rsidR="007B46B6" w:rsidRPr="00CE689D">
        <w:rPr>
          <w:rFonts w:ascii="Garamond" w:hAnsi="Garamond"/>
          <w:sz w:val="24"/>
          <w:szCs w:val="24"/>
        </w:rPr>
        <w:t xml:space="preserve">. </w:t>
      </w:r>
      <w:r w:rsidR="00A211F9" w:rsidRPr="00CE689D">
        <w:rPr>
          <w:rFonts w:ascii="Garamond" w:hAnsi="Garamond"/>
          <w:sz w:val="24"/>
          <w:szCs w:val="24"/>
        </w:rPr>
        <w:t xml:space="preserve">His research interest includes health </w:t>
      </w:r>
      <w:r w:rsidR="004735AC" w:rsidRPr="00CE689D">
        <w:rPr>
          <w:rFonts w:ascii="Garamond" w:hAnsi="Garamond"/>
          <w:sz w:val="24"/>
          <w:szCs w:val="24"/>
        </w:rPr>
        <w:t xml:space="preserve">policy and </w:t>
      </w:r>
      <w:r w:rsidR="00A211F9" w:rsidRPr="00CE689D">
        <w:rPr>
          <w:rFonts w:ascii="Garamond" w:hAnsi="Garamond"/>
          <w:sz w:val="24"/>
          <w:szCs w:val="24"/>
        </w:rPr>
        <w:t>financing,</w:t>
      </w:r>
      <w:r w:rsidR="009049CD" w:rsidRPr="00CE689D">
        <w:rPr>
          <w:rFonts w:ascii="Garamond" w:hAnsi="Garamond"/>
          <w:sz w:val="24"/>
          <w:szCs w:val="24"/>
        </w:rPr>
        <w:t xml:space="preserve"> economic evaluation of interventions,</w:t>
      </w:r>
      <w:r w:rsidR="00A211F9" w:rsidRPr="00CE689D">
        <w:rPr>
          <w:rFonts w:ascii="Garamond" w:hAnsi="Garamond"/>
          <w:sz w:val="24"/>
          <w:szCs w:val="24"/>
        </w:rPr>
        <w:t xml:space="preserve"> efficiency of health systems, </w:t>
      </w:r>
      <w:r w:rsidR="000738C9">
        <w:rPr>
          <w:rFonts w:ascii="Garamond" w:hAnsi="Garamond"/>
          <w:sz w:val="24"/>
          <w:szCs w:val="24"/>
        </w:rPr>
        <w:t xml:space="preserve">socioeconomic inequality, </w:t>
      </w:r>
      <w:r w:rsidR="00A211F9" w:rsidRPr="00CE689D">
        <w:rPr>
          <w:rFonts w:ascii="Garamond" w:hAnsi="Garamond"/>
          <w:sz w:val="24"/>
          <w:szCs w:val="24"/>
        </w:rPr>
        <w:t>poverty and vulnerability analysis.</w:t>
      </w:r>
      <w:r w:rsidRPr="00CE689D">
        <w:rPr>
          <w:rFonts w:ascii="Garamond" w:hAnsi="Garamond"/>
          <w:sz w:val="24"/>
          <w:szCs w:val="24"/>
        </w:rPr>
        <w:t xml:space="preserve"> </w:t>
      </w:r>
      <w:r w:rsidR="000738C9">
        <w:rPr>
          <w:rFonts w:ascii="Garamond" w:hAnsi="Garamond"/>
          <w:sz w:val="24"/>
          <w:szCs w:val="24"/>
        </w:rPr>
        <w:t>His k</w:t>
      </w:r>
      <w:r w:rsidR="009049CD" w:rsidRPr="00CE689D">
        <w:rPr>
          <w:rFonts w:ascii="Garamond" w:hAnsi="Garamond"/>
          <w:sz w:val="24"/>
          <w:szCs w:val="24"/>
        </w:rPr>
        <w:t>ey research questions include understanding the economic burden of health conditions, economic evaluation of alternative health interventions to inform effective decision making</w:t>
      </w:r>
      <w:r w:rsidR="000738C9">
        <w:rPr>
          <w:rFonts w:ascii="Garamond" w:hAnsi="Garamond"/>
          <w:sz w:val="24"/>
          <w:szCs w:val="24"/>
        </w:rPr>
        <w:t xml:space="preserve"> and identifying innovative health fining strategies in resource constrained settings</w:t>
      </w:r>
      <w:r w:rsidR="009049CD" w:rsidRPr="00CE689D">
        <w:rPr>
          <w:rFonts w:ascii="Garamond" w:hAnsi="Garamond"/>
          <w:sz w:val="24"/>
          <w:szCs w:val="24"/>
        </w:rPr>
        <w:t xml:space="preserve">. </w:t>
      </w:r>
      <w:r w:rsidR="00487498" w:rsidRPr="00CE689D">
        <w:rPr>
          <w:rFonts w:ascii="Garamond" w:hAnsi="Garamond"/>
          <w:sz w:val="24"/>
          <w:szCs w:val="24"/>
        </w:rPr>
        <w:t xml:space="preserve">Dr </w:t>
      </w:r>
      <w:proofErr w:type="spellStart"/>
      <w:r w:rsidR="00487498" w:rsidRPr="00CE689D">
        <w:rPr>
          <w:rFonts w:ascii="Garamond" w:hAnsi="Garamond"/>
          <w:sz w:val="24"/>
          <w:szCs w:val="24"/>
        </w:rPr>
        <w:t>Novignon’s</w:t>
      </w:r>
      <w:proofErr w:type="spellEnd"/>
      <w:r w:rsidR="00487498" w:rsidRPr="00CE689D">
        <w:rPr>
          <w:rFonts w:ascii="Garamond" w:hAnsi="Garamond"/>
          <w:sz w:val="24"/>
          <w:szCs w:val="24"/>
        </w:rPr>
        <w:t xml:space="preserve"> research vision is to improve healthcare financial risks faced by poor and vulnerable people through efficient and equitable health systems. </w:t>
      </w:r>
      <w:r w:rsidR="003B644F" w:rsidRPr="00CE689D">
        <w:rPr>
          <w:rFonts w:ascii="Garamond" w:hAnsi="Garamond"/>
          <w:sz w:val="24"/>
          <w:szCs w:val="24"/>
        </w:rPr>
        <w:t>He has</w:t>
      </w:r>
      <w:r w:rsidR="004735AC" w:rsidRPr="00CE689D">
        <w:rPr>
          <w:rFonts w:ascii="Garamond" w:hAnsi="Garamond"/>
          <w:sz w:val="24"/>
          <w:szCs w:val="24"/>
        </w:rPr>
        <w:t xml:space="preserve"> served as a consultant on various social and economic themes for local and international organizations</w:t>
      </w:r>
      <w:r w:rsidR="003B644F" w:rsidRPr="00CE689D">
        <w:rPr>
          <w:rFonts w:ascii="Garamond" w:hAnsi="Garamond"/>
          <w:sz w:val="24"/>
          <w:szCs w:val="24"/>
        </w:rPr>
        <w:t xml:space="preserve"> including WHO Headquarters, African Economic Research Consortium, African Health Economics and Policy Association, Results for Development etc</w:t>
      </w:r>
      <w:r w:rsidR="004735AC" w:rsidRPr="00CE689D">
        <w:rPr>
          <w:rFonts w:ascii="Garamond" w:hAnsi="Garamond"/>
          <w:sz w:val="24"/>
          <w:szCs w:val="24"/>
        </w:rPr>
        <w:t>.</w:t>
      </w:r>
      <w:r w:rsidRPr="00CE689D">
        <w:rPr>
          <w:rFonts w:ascii="Garamond" w:hAnsi="Garamond"/>
          <w:sz w:val="24"/>
          <w:szCs w:val="24"/>
        </w:rPr>
        <w:t xml:space="preserve"> </w:t>
      </w:r>
    </w:p>
    <w:p w14:paraId="741529C3" w14:textId="0D79B940" w:rsidR="008372C6" w:rsidRPr="00CE689D" w:rsidRDefault="008372C6" w:rsidP="00CE689D">
      <w:p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CE689D">
        <w:rPr>
          <w:rFonts w:ascii="Garamond" w:hAnsi="Garamond"/>
          <w:b/>
          <w:bCs/>
          <w:sz w:val="24"/>
          <w:szCs w:val="24"/>
        </w:rPr>
        <w:t xml:space="preserve">Positions </w:t>
      </w:r>
      <w:r w:rsidR="00CE689D" w:rsidRPr="00CE689D">
        <w:rPr>
          <w:rFonts w:ascii="Garamond" w:hAnsi="Garamond"/>
          <w:b/>
          <w:bCs/>
          <w:sz w:val="24"/>
          <w:szCs w:val="24"/>
        </w:rPr>
        <w:t>H</w:t>
      </w:r>
      <w:r w:rsidRPr="00CE689D">
        <w:rPr>
          <w:rFonts w:ascii="Garamond" w:hAnsi="Garamond"/>
          <w:b/>
          <w:bCs/>
          <w:sz w:val="24"/>
          <w:szCs w:val="24"/>
        </w:rPr>
        <w:t>el</w:t>
      </w:r>
      <w:r w:rsidR="00CE689D" w:rsidRPr="00CE689D">
        <w:rPr>
          <w:rFonts w:ascii="Garamond" w:hAnsi="Garamond"/>
          <w:b/>
          <w:bCs/>
          <w:sz w:val="24"/>
          <w:szCs w:val="24"/>
        </w:rPr>
        <w:t>d</w:t>
      </w:r>
      <w:r w:rsidRPr="00CE689D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AAF20AF" w14:textId="37C5FF10" w:rsidR="008372C6" w:rsidRPr="00CE689D" w:rsidRDefault="008372C6" w:rsidP="00CE689D">
      <w:pPr>
        <w:spacing w:line="240" w:lineRule="auto"/>
        <w:ind w:left="2160" w:hanging="2160"/>
        <w:jc w:val="both"/>
        <w:rPr>
          <w:rFonts w:ascii="Garamond" w:hAnsi="Garamond"/>
          <w:sz w:val="24"/>
          <w:szCs w:val="24"/>
        </w:rPr>
      </w:pPr>
      <w:r w:rsidRPr="00CE689D">
        <w:rPr>
          <w:rFonts w:ascii="Garamond" w:hAnsi="Garamond"/>
          <w:sz w:val="24"/>
          <w:szCs w:val="24"/>
        </w:rPr>
        <w:t>2020-to date</w:t>
      </w:r>
      <w:r w:rsidRPr="00CE689D">
        <w:rPr>
          <w:rFonts w:ascii="Garamond" w:hAnsi="Garamond"/>
          <w:sz w:val="24"/>
          <w:szCs w:val="24"/>
        </w:rPr>
        <w:tab/>
      </w:r>
      <w:r w:rsidRPr="00CE689D">
        <w:rPr>
          <w:rFonts w:ascii="Garamond" w:hAnsi="Garamond"/>
          <w:sz w:val="24"/>
          <w:szCs w:val="24"/>
        </w:rPr>
        <w:t>Senior Lecturer, Kwame Nkrumah University of Science and Technology (KNUST), Kumasi-Ghana.</w:t>
      </w:r>
    </w:p>
    <w:p w14:paraId="2B85E445" w14:textId="6C462C63" w:rsidR="008372C6" w:rsidRPr="00CE689D" w:rsidRDefault="008372C6" w:rsidP="00CE689D">
      <w:pPr>
        <w:spacing w:line="240" w:lineRule="auto"/>
        <w:ind w:left="2160" w:hanging="2160"/>
        <w:jc w:val="both"/>
        <w:rPr>
          <w:rFonts w:ascii="Garamond" w:hAnsi="Garamond"/>
          <w:sz w:val="24"/>
          <w:szCs w:val="24"/>
        </w:rPr>
      </w:pPr>
      <w:r w:rsidRPr="00CE689D">
        <w:rPr>
          <w:rFonts w:ascii="Garamond" w:hAnsi="Garamond"/>
          <w:sz w:val="24"/>
          <w:szCs w:val="24"/>
        </w:rPr>
        <w:t>2016-to 2020</w:t>
      </w:r>
      <w:r w:rsidRPr="00CE689D">
        <w:rPr>
          <w:rFonts w:ascii="Garamond" w:hAnsi="Garamond"/>
          <w:sz w:val="24"/>
          <w:szCs w:val="24"/>
        </w:rPr>
        <w:tab/>
        <w:t xml:space="preserve">Full-Time Lecturer, Kwame Nkrumah University of Science and Technology (KNUST), Kumasi-Ghana. </w:t>
      </w:r>
    </w:p>
    <w:p w14:paraId="19D528A7" w14:textId="6A297514" w:rsidR="008372C6" w:rsidRPr="00CE689D" w:rsidRDefault="008372C6" w:rsidP="00CE689D">
      <w:pPr>
        <w:spacing w:line="240" w:lineRule="auto"/>
        <w:ind w:left="2160" w:hanging="2160"/>
        <w:jc w:val="both"/>
        <w:rPr>
          <w:rFonts w:ascii="Garamond" w:hAnsi="Garamond"/>
          <w:sz w:val="24"/>
          <w:szCs w:val="24"/>
        </w:rPr>
      </w:pPr>
      <w:r w:rsidRPr="00CE689D">
        <w:rPr>
          <w:rFonts w:ascii="Garamond" w:hAnsi="Garamond"/>
          <w:sz w:val="24"/>
          <w:szCs w:val="24"/>
        </w:rPr>
        <w:t>2019-2021</w:t>
      </w:r>
      <w:r w:rsidRPr="00CE689D">
        <w:rPr>
          <w:rFonts w:ascii="Garamond" w:hAnsi="Garamond"/>
          <w:sz w:val="24"/>
          <w:szCs w:val="24"/>
        </w:rPr>
        <w:tab/>
      </w:r>
      <w:r w:rsidRPr="00CE689D">
        <w:rPr>
          <w:rFonts w:ascii="Garamond" w:hAnsi="Garamond"/>
          <w:sz w:val="24"/>
          <w:szCs w:val="24"/>
        </w:rPr>
        <w:t xml:space="preserve">Research Fellow, </w:t>
      </w:r>
      <w:r w:rsidRPr="00CE689D">
        <w:rPr>
          <w:rFonts w:ascii="Garamond" w:hAnsi="Garamond"/>
          <w:sz w:val="24"/>
          <w:szCs w:val="24"/>
        </w:rPr>
        <w:t>European Investment Bank &amp; Global Development Network Research Fellowship in Development Finance. Received Grant to evaluate impact of development investments in selected countries.</w:t>
      </w:r>
    </w:p>
    <w:p w14:paraId="218541D9" w14:textId="5891AE02" w:rsidR="008372C6" w:rsidRPr="00CE689D" w:rsidRDefault="008372C6" w:rsidP="00CE689D">
      <w:pPr>
        <w:spacing w:line="240" w:lineRule="auto"/>
        <w:ind w:left="2160" w:hanging="2160"/>
        <w:jc w:val="both"/>
        <w:rPr>
          <w:rFonts w:ascii="Garamond" w:hAnsi="Garamond"/>
          <w:sz w:val="24"/>
          <w:szCs w:val="24"/>
        </w:rPr>
      </w:pPr>
      <w:r w:rsidRPr="00CE689D">
        <w:rPr>
          <w:rFonts w:ascii="Garamond" w:hAnsi="Garamond"/>
          <w:sz w:val="24"/>
          <w:szCs w:val="24"/>
        </w:rPr>
        <w:t>2019 (04-22/03)</w:t>
      </w:r>
      <w:r w:rsidR="00742F23" w:rsidRPr="00CE689D">
        <w:rPr>
          <w:rFonts w:ascii="Garamond" w:hAnsi="Garamond"/>
          <w:sz w:val="24"/>
          <w:szCs w:val="24"/>
        </w:rPr>
        <w:tab/>
      </w:r>
      <w:r w:rsidRPr="00CE689D">
        <w:rPr>
          <w:rFonts w:ascii="Garamond" w:hAnsi="Garamond"/>
          <w:sz w:val="24"/>
          <w:szCs w:val="24"/>
        </w:rPr>
        <w:t>Visiting Researcher</w:t>
      </w:r>
      <w:r w:rsidR="00742F23" w:rsidRPr="00CE689D">
        <w:rPr>
          <w:rFonts w:ascii="Garamond" w:hAnsi="Garamond"/>
          <w:sz w:val="24"/>
          <w:szCs w:val="24"/>
        </w:rPr>
        <w:t xml:space="preserve">, </w:t>
      </w:r>
      <w:r w:rsidRPr="00CE689D">
        <w:rPr>
          <w:rFonts w:ascii="Garamond" w:hAnsi="Garamond"/>
          <w:sz w:val="24"/>
          <w:szCs w:val="24"/>
        </w:rPr>
        <w:t>Department of Economics, University of Laval, Canada.</w:t>
      </w:r>
    </w:p>
    <w:p w14:paraId="103BD7A2" w14:textId="4048DCC7" w:rsidR="008372C6" w:rsidRPr="00CE689D" w:rsidRDefault="008372C6" w:rsidP="00CE689D">
      <w:pPr>
        <w:spacing w:line="240" w:lineRule="auto"/>
        <w:ind w:left="2160" w:hanging="2160"/>
        <w:jc w:val="both"/>
        <w:rPr>
          <w:rFonts w:ascii="Garamond" w:hAnsi="Garamond"/>
          <w:sz w:val="24"/>
          <w:szCs w:val="24"/>
        </w:rPr>
      </w:pPr>
      <w:r w:rsidRPr="00CE689D">
        <w:rPr>
          <w:rFonts w:ascii="Garamond" w:hAnsi="Garamond"/>
          <w:sz w:val="24"/>
          <w:szCs w:val="24"/>
        </w:rPr>
        <w:t>2017 (06-08)</w:t>
      </w:r>
      <w:r w:rsidRPr="00CE689D">
        <w:rPr>
          <w:rFonts w:ascii="Garamond" w:hAnsi="Garamond"/>
          <w:sz w:val="24"/>
          <w:szCs w:val="24"/>
        </w:rPr>
        <w:tab/>
        <w:t>Visiting Researcher</w:t>
      </w:r>
      <w:r w:rsidR="00742F23" w:rsidRPr="00CE689D">
        <w:rPr>
          <w:rFonts w:ascii="Garamond" w:hAnsi="Garamond"/>
          <w:sz w:val="24"/>
          <w:szCs w:val="24"/>
        </w:rPr>
        <w:t>,</w:t>
      </w:r>
      <w:r w:rsidRPr="00CE689D">
        <w:rPr>
          <w:rFonts w:ascii="Garamond" w:hAnsi="Garamond"/>
          <w:sz w:val="24"/>
          <w:szCs w:val="24"/>
        </w:rPr>
        <w:t xml:space="preserve"> School of Public Health, Aarhus University, Denmark.</w:t>
      </w:r>
    </w:p>
    <w:p w14:paraId="62CC255C" w14:textId="54AB1086" w:rsidR="008372C6" w:rsidRPr="00CE689D" w:rsidRDefault="008372C6" w:rsidP="00CE689D">
      <w:pPr>
        <w:spacing w:line="240" w:lineRule="auto"/>
        <w:ind w:left="2160" w:hanging="2160"/>
        <w:jc w:val="both"/>
        <w:rPr>
          <w:rFonts w:ascii="Garamond" w:hAnsi="Garamond"/>
          <w:sz w:val="24"/>
          <w:szCs w:val="24"/>
        </w:rPr>
      </w:pPr>
      <w:r w:rsidRPr="00CE689D">
        <w:rPr>
          <w:rFonts w:ascii="Garamond" w:hAnsi="Garamond"/>
          <w:sz w:val="24"/>
          <w:szCs w:val="24"/>
        </w:rPr>
        <w:t>2017 (01-04)</w:t>
      </w:r>
      <w:r w:rsidRPr="00CE689D">
        <w:rPr>
          <w:rFonts w:ascii="Garamond" w:hAnsi="Garamond"/>
          <w:sz w:val="24"/>
          <w:szCs w:val="24"/>
        </w:rPr>
        <w:tab/>
        <w:t>Research Fellow</w:t>
      </w:r>
      <w:r w:rsidR="00742F23" w:rsidRPr="00CE689D">
        <w:rPr>
          <w:rFonts w:ascii="Garamond" w:hAnsi="Garamond"/>
          <w:sz w:val="24"/>
          <w:szCs w:val="24"/>
        </w:rPr>
        <w:t>,</w:t>
      </w:r>
      <w:r w:rsidRPr="00CE689D">
        <w:rPr>
          <w:rFonts w:ascii="Garamond" w:hAnsi="Garamond"/>
          <w:sz w:val="24"/>
          <w:szCs w:val="24"/>
        </w:rPr>
        <w:t xml:space="preserve"> African Development Bank. AERC-ADB Research Mentorship Program.</w:t>
      </w:r>
    </w:p>
    <w:p w14:paraId="4CC22D83" w14:textId="0E280054" w:rsidR="008372C6" w:rsidRPr="00CE689D" w:rsidRDefault="008372C6" w:rsidP="00CE689D">
      <w:pPr>
        <w:spacing w:line="240" w:lineRule="auto"/>
        <w:ind w:left="2160" w:hanging="2160"/>
        <w:jc w:val="both"/>
        <w:rPr>
          <w:rFonts w:ascii="Garamond" w:hAnsi="Garamond"/>
          <w:sz w:val="24"/>
          <w:szCs w:val="24"/>
        </w:rPr>
      </w:pPr>
      <w:r w:rsidRPr="00CE689D">
        <w:rPr>
          <w:rFonts w:ascii="Garamond" w:hAnsi="Garamond"/>
          <w:sz w:val="24"/>
          <w:szCs w:val="24"/>
        </w:rPr>
        <w:t>2016-2017</w:t>
      </w:r>
      <w:r w:rsidR="00742F23" w:rsidRPr="00CE689D">
        <w:rPr>
          <w:rFonts w:ascii="Garamond" w:hAnsi="Garamond"/>
          <w:sz w:val="24"/>
          <w:szCs w:val="24"/>
        </w:rPr>
        <w:tab/>
      </w:r>
      <w:r w:rsidRPr="00CE689D">
        <w:rPr>
          <w:rFonts w:ascii="Garamond" w:hAnsi="Garamond"/>
          <w:sz w:val="24"/>
          <w:szCs w:val="24"/>
        </w:rPr>
        <w:t>Research fellow</w:t>
      </w:r>
      <w:r w:rsidR="00742F23" w:rsidRPr="00CE689D">
        <w:rPr>
          <w:rFonts w:ascii="Garamond" w:hAnsi="Garamond"/>
          <w:sz w:val="24"/>
          <w:szCs w:val="24"/>
        </w:rPr>
        <w:t>,</w:t>
      </w:r>
      <w:r w:rsidRPr="00CE689D">
        <w:rPr>
          <w:rFonts w:ascii="Garamond" w:hAnsi="Garamond"/>
          <w:sz w:val="24"/>
          <w:szCs w:val="24"/>
        </w:rPr>
        <w:t xml:space="preserve"> UNICEF Office of Research, Florence. Junior consultant on The Cash Transfers Project. Impact evaluation of cash transfers on morbidity in selected African countries.</w:t>
      </w:r>
    </w:p>
    <w:p w14:paraId="071BCFD7" w14:textId="39A15D09" w:rsidR="00742F23" w:rsidRPr="00CE689D" w:rsidRDefault="00742F23" w:rsidP="00CE689D">
      <w:p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CE689D">
        <w:rPr>
          <w:rFonts w:ascii="Garamond" w:hAnsi="Garamond"/>
          <w:b/>
          <w:bCs/>
          <w:sz w:val="24"/>
          <w:szCs w:val="24"/>
        </w:rPr>
        <w:t xml:space="preserve">Selected </w:t>
      </w:r>
      <w:r w:rsidR="00CE689D" w:rsidRPr="00CE689D">
        <w:rPr>
          <w:rFonts w:ascii="Garamond" w:hAnsi="Garamond"/>
          <w:b/>
          <w:bCs/>
          <w:sz w:val="24"/>
          <w:szCs w:val="24"/>
        </w:rPr>
        <w:t>P</w:t>
      </w:r>
      <w:r w:rsidRPr="00CE689D">
        <w:rPr>
          <w:rFonts w:ascii="Garamond" w:hAnsi="Garamond"/>
          <w:b/>
          <w:bCs/>
          <w:sz w:val="24"/>
          <w:szCs w:val="24"/>
        </w:rPr>
        <w:t>rojects</w:t>
      </w:r>
    </w:p>
    <w:p w14:paraId="739C46DD" w14:textId="05E5A313" w:rsidR="00742F23" w:rsidRPr="00CE689D" w:rsidRDefault="00742F23" w:rsidP="00CE689D">
      <w:pPr>
        <w:spacing w:line="240" w:lineRule="auto"/>
        <w:ind w:left="1440" w:hanging="1440"/>
        <w:jc w:val="both"/>
        <w:rPr>
          <w:rFonts w:ascii="Garamond" w:hAnsi="Garamond"/>
          <w:sz w:val="24"/>
          <w:szCs w:val="24"/>
        </w:rPr>
      </w:pPr>
      <w:r w:rsidRPr="00CE689D">
        <w:rPr>
          <w:rFonts w:ascii="Garamond" w:hAnsi="Garamond"/>
          <w:sz w:val="24"/>
          <w:szCs w:val="24"/>
        </w:rPr>
        <w:t>2021</w:t>
      </w:r>
      <w:r w:rsidRPr="00CE689D">
        <w:rPr>
          <w:rFonts w:ascii="Garamond" w:hAnsi="Garamond"/>
          <w:sz w:val="24"/>
          <w:szCs w:val="24"/>
        </w:rPr>
        <w:tab/>
        <w:t>Health Economist</w:t>
      </w:r>
      <w:r w:rsidR="00C20CAB">
        <w:rPr>
          <w:rFonts w:ascii="Garamond" w:hAnsi="Garamond"/>
          <w:sz w:val="24"/>
          <w:szCs w:val="24"/>
        </w:rPr>
        <w:t>.</w:t>
      </w:r>
      <w:r w:rsidRPr="00CE689D">
        <w:rPr>
          <w:rFonts w:ascii="Garamond" w:hAnsi="Garamond"/>
          <w:sz w:val="24"/>
          <w:szCs w:val="24"/>
        </w:rPr>
        <w:t xml:space="preserve"> </w:t>
      </w:r>
      <w:r w:rsidRPr="00CE689D">
        <w:rPr>
          <w:rFonts w:ascii="Garamond" w:hAnsi="Garamond"/>
          <w:sz w:val="24"/>
          <w:szCs w:val="24"/>
        </w:rPr>
        <w:t>Adolescent mental, sexual and reproductive health and wellbeing policy, program and primary care implementation priorities in West Africa</w:t>
      </w:r>
      <w:r w:rsidR="00713020" w:rsidRPr="00CE689D">
        <w:rPr>
          <w:rFonts w:ascii="Garamond" w:hAnsi="Garamond"/>
          <w:sz w:val="24"/>
          <w:szCs w:val="24"/>
        </w:rPr>
        <w:t xml:space="preserve"> (</w:t>
      </w:r>
      <w:proofErr w:type="spellStart"/>
      <w:r w:rsidR="00713020" w:rsidRPr="00CE689D">
        <w:rPr>
          <w:rFonts w:ascii="Garamond" w:hAnsi="Garamond"/>
          <w:sz w:val="24"/>
          <w:szCs w:val="24"/>
        </w:rPr>
        <w:t>AdoWA</w:t>
      </w:r>
      <w:proofErr w:type="spellEnd"/>
      <w:r w:rsidR="00713020" w:rsidRPr="00CE689D">
        <w:rPr>
          <w:rFonts w:ascii="Garamond" w:hAnsi="Garamond"/>
          <w:sz w:val="24"/>
          <w:szCs w:val="24"/>
        </w:rPr>
        <w:t>)</w:t>
      </w:r>
    </w:p>
    <w:p w14:paraId="0B192DC7" w14:textId="0632F1A8" w:rsidR="00713020" w:rsidRPr="00CE689D" w:rsidRDefault="00713020" w:rsidP="00CE689D">
      <w:pPr>
        <w:spacing w:line="240" w:lineRule="auto"/>
        <w:ind w:left="1440" w:hanging="1440"/>
        <w:jc w:val="both"/>
        <w:rPr>
          <w:rFonts w:ascii="Garamond" w:hAnsi="Garamond"/>
          <w:sz w:val="24"/>
          <w:szCs w:val="24"/>
        </w:rPr>
      </w:pPr>
      <w:r w:rsidRPr="00CE689D">
        <w:rPr>
          <w:rFonts w:ascii="Garamond" w:hAnsi="Garamond"/>
          <w:sz w:val="24"/>
          <w:szCs w:val="24"/>
        </w:rPr>
        <w:t>2020</w:t>
      </w:r>
      <w:r w:rsidRPr="00CE689D">
        <w:rPr>
          <w:rFonts w:ascii="Garamond" w:hAnsi="Garamond"/>
          <w:sz w:val="24"/>
          <w:szCs w:val="24"/>
        </w:rPr>
        <w:tab/>
        <w:t>Health Economist</w:t>
      </w:r>
      <w:r w:rsidR="00C20CAB">
        <w:rPr>
          <w:rFonts w:ascii="Garamond" w:hAnsi="Garamond"/>
          <w:sz w:val="24"/>
          <w:szCs w:val="24"/>
        </w:rPr>
        <w:t>.</w:t>
      </w:r>
      <w:r w:rsidRPr="00CE689D">
        <w:rPr>
          <w:rFonts w:ascii="Garamond" w:hAnsi="Garamond"/>
          <w:sz w:val="24"/>
          <w:szCs w:val="24"/>
        </w:rPr>
        <w:t xml:space="preserve"> improving</w:t>
      </w:r>
      <w:r w:rsidRPr="00CE689D">
        <w:rPr>
          <w:rFonts w:ascii="Garamond" w:hAnsi="Garamond"/>
          <w:sz w:val="24"/>
          <w:szCs w:val="24"/>
        </w:rPr>
        <w:t xml:space="preserve"> experiences and outcomes for individuals with severe stigmatizing skin diseases: Developing an integrated case finding and management</w:t>
      </w:r>
      <w:r w:rsidRPr="00CE689D">
        <w:rPr>
          <w:rFonts w:ascii="Garamond" w:hAnsi="Garamond"/>
          <w:sz w:val="24"/>
          <w:szCs w:val="24"/>
        </w:rPr>
        <w:t xml:space="preserve"> </w:t>
      </w:r>
      <w:r w:rsidRPr="00CE689D">
        <w:rPr>
          <w:rFonts w:ascii="Garamond" w:hAnsi="Garamond"/>
          <w:sz w:val="24"/>
          <w:szCs w:val="24"/>
        </w:rPr>
        <w:t>intervention in Ghana and Ethiopia</w:t>
      </w:r>
      <w:r w:rsidRPr="00CE689D">
        <w:rPr>
          <w:rFonts w:ascii="Garamond" w:hAnsi="Garamond"/>
          <w:sz w:val="24"/>
          <w:szCs w:val="24"/>
        </w:rPr>
        <w:t xml:space="preserve"> (SHARP).</w:t>
      </w:r>
    </w:p>
    <w:p w14:paraId="01B8608E" w14:textId="5EC174E6" w:rsidR="00713020" w:rsidRPr="00CE689D" w:rsidRDefault="00713020" w:rsidP="00CE689D">
      <w:pPr>
        <w:spacing w:line="240" w:lineRule="auto"/>
        <w:ind w:left="1440" w:hanging="1440"/>
        <w:jc w:val="both"/>
        <w:rPr>
          <w:rFonts w:ascii="Garamond" w:hAnsi="Garamond"/>
          <w:sz w:val="24"/>
          <w:szCs w:val="24"/>
        </w:rPr>
      </w:pPr>
      <w:r w:rsidRPr="00CE689D">
        <w:rPr>
          <w:rFonts w:ascii="Garamond" w:hAnsi="Garamond"/>
          <w:sz w:val="24"/>
          <w:szCs w:val="24"/>
        </w:rPr>
        <w:t>2019</w:t>
      </w:r>
      <w:r w:rsidRPr="00CE689D">
        <w:rPr>
          <w:rFonts w:ascii="Garamond" w:hAnsi="Garamond"/>
          <w:sz w:val="24"/>
          <w:szCs w:val="24"/>
        </w:rPr>
        <w:tab/>
        <w:t>Collaborator</w:t>
      </w:r>
      <w:r w:rsidR="00C20CAB">
        <w:rPr>
          <w:rFonts w:ascii="Garamond" w:hAnsi="Garamond"/>
          <w:sz w:val="24"/>
          <w:szCs w:val="24"/>
        </w:rPr>
        <w:t>.</w:t>
      </w:r>
      <w:r w:rsidRPr="00CE689D">
        <w:rPr>
          <w:rFonts w:ascii="Garamond" w:hAnsi="Garamond"/>
          <w:sz w:val="24"/>
          <w:szCs w:val="24"/>
        </w:rPr>
        <w:t xml:space="preserve"> F</w:t>
      </w:r>
      <w:r w:rsidRPr="00CE689D">
        <w:rPr>
          <w:rFonts w:ascii="Garamond" w:hAnsi="Garamond"/>
          <w:sz w:val="24"/>
          <w:szCs w:val="24"/>
        </w:rPr>
        <w:t>inancial protection monitoring in Ghana and Kenya. Analyz</w:t>
      </w:r>
      <w:r w:rsidRPr="00CE689D">
        <w:rPr>
          <w:rFonts w:ascii="Garamond" w:hAnsi="Garamond"/>
          <w:sz w:val="24"/>
          <w:szCs w:val="24"/>
        </w:rPr>
        <w:t>ing</w:t>
      </w:r>
      <w:r w:rsidRPr="00CE689D">
        <w:rPr>
          <w:rFonts w:ascii="Garamond" w:hAnsi="Garamond"/>
          <w:sz w:val="24"/>
          <w:szCs w:val="24"/>
        </w:rPr>
        <w:t xml:space="preserve"> survey data to estimate progress in financial protection</w:t>
      </w:r>
      <w:r w:rsidRPr="00CE689D">
        <w:rPr>
          <w:rFonts w:ascii="Garamond" w:hAnsi="Garamond"/>
          <w:sz w:val="24"/>
          <w:szCs w:val="24"/>
        </w:rPr>
        <w:t xml:space="preserve"> (WHO)</w:t>
      </w:r>
    </w:p>
    <w:p w14:paraId="181C5790" w14:textId="4875575C" w:rsidR="00E6196F" w:rsidRPr="00CE689D" w:rsidRDefault="00E6196F" w:rsidP="00CE689D">
      <w:pPr>
        <w:spacing w:line="240" w:lineRule="auto"/>
        <w:ind w:left="1440" w:hanging="1440"/>
        <w:jc w:val="both"/>
        <w:rPr>
          <w:rFonts w:ascii="Garamond" w:hAnsi="Garamond"/>
          <w:sz w:val="24"/>
          <w:szCs w:val="24"/>
        </w:rPr>
      </w:pPr>
      <w:r w:rsidRPr="00CE689D">
        <w:rPr>
          <w:rFonts w:ascii="Garamond" w:hAnsi="Garamond"/>
          <w:sz w:val="24"/>
          <w:szCs w:val="24"/>
        </w:rPr>
        <w:t>2020</w:t>
      </w:r>
      <w:r w:rsidRPr="00CE689D">
        <w:rPr>
          <w:rFonts w:ascii="Garamond" w:hAnsi="Garamond"/>
          <w:sz w:val="24"/>
          <w:szCs w:val="24"/>
        </w:rPr>
        <w:tab/>
        <w:t>Health Economist</w:t>
      </w:r>
      <w:r w:rsidR="00C20CAB">
        <w:rPr>
          <w:rFonts w:ascii="Garamond" w:hAnsi="Garamond"/>
          <w:sz w:val="24"/>
          <w:szCs w:val="24"/>
        </w:rPr>
        <w:t>.</w:t>
      </w:r>
      <w:r w:rsidRPr="00CE689D">
        <w:rPr>
          <w:rFonts w:ascii="Garamond" w:hAnsi="Garamond"/>
          <w:sz w:val="24"/>
          <w:szCs w:val="24"/>
        </w:rPr>
        <w:t xml:space="preserve"> U</w:t>
      </w:r>
      <w:r w:rsidRPr="00CE689D">
        <w:rPr>
          <w:rFonts w:ascii="Garamond" w:hAnsi="Garamond"/>
          <w:sz w:val="24"/>
          <w:szCs w:val="24"/>
        </w:rPr>
        <w:t>ndertaking investment cases for Transformative Results in the Decade of Action</w:t>
      </w:r>
      <w:r w:rsidRPr="00CE689D">
        <w:rPr>
          <w:rFonts w:ascii="Garamond" w:hAnsi="Garamond"/>
          <w:sz w:val="24"/>
          <w:szCs w:val="24"/>
        </w:rPr>
        <w:t xml:space="preserve"> (UNFPA)</w:t>
      </w:r>
    </w:p>
    <w:p w14:paraId="41AC996E" w14:textId="56B41D9D" w:rsidR="00713020" w:rsidRPr="00CE689D" w:rsidRDefault="00713020" w:rsidP="00CE689D">
      <w:pPr>
        <w:spacing w:line="240" w:lineRule="auto"/>
        <w:ind w:left="1440" w:hanging="1440"/>
        <w:jc w:val="both"/>
        <w:rPr>
          <w:rFonts w:ascii="Garamond" w:hAnsi="Garamond"/>
          <w:sz w:val="24"/>
          <w:szCs w:val="24"/>
        </w:rPr>
      </w:pPr>
      <w:r w:rsidRPr="00CE689D">
        <w:rPr>
          <w:rFonts w:ascii="Garamond" w:hAnsi="Garamond"/>
          <w:sz w:val="24"/>
          <w:szCs w:val="24"/>
        </w:rPr>
        <w:t>2017</w:t>
      </w:r>
      <w:r w:rsidRPr="00CE689D">
        <w:rPr>
          <w:rFonts w:ascii="Garamond" w:hAnsi="Garamond"/>
          <w:sz w:val="24"/>
          <w:szCs w:val="24"/>
        </w:rPr>
        <w:tab/>
        <w:t>Collaborator</w:t>
      </w:r>
      <w:r w:rsidR="00C20CAB">
        <w:rPr>
          <w:rFonts w:ascii="Garamond" w:hAnsi="Garamond"/>
          <w:sz w:val="24"/>
          <w:szCs w:val="24"/>
        </w:rPr>
        <w:t>.</w:t>
      </w:r>
      <w:r w:rsidRPr="00CE689D">
        <w:rPr>
          <w:rFonts w:ascii="Garamond" w:hAnsi="Garamond"/>
          <w:sz w:val="24"/>
          <w:szCs w:val="24"/>
        </w:rPr>
        <w:t xml:space="preserve"> </w:t>
      </w:r>
      <w:r w:rsidRPr="00CE689D">
        <w:rPr>
          <w:rFonts w:ascii="Garamond" w:hAnsi="Garamond"/>
          <w:sz w:val="24"/>
          <w:szCs w:val="24"/>
        </w:rPr>
        <w:t>An analysis of domestic and donor financing for maternal neonatal and child health in sub-Sahara Africa</w:t>
      </w:r>
    </w:p>
    <w:p w14:paraId="7B5F431E" w14:textId="0E85B2F2" w:rsidR="00713020" w:rsidRPr="00CE689D" w:rsidRDefault="00713020" w:rsidP="00CE689D">
      <w:pPr>
        <w:spacing w:line="240" w:lineRule="auto"/>
        <w:ind w:left="1440" w:hanging="1440"/>
        <w:jc w:val="both"/>
        <w:rPr>
          <w:rFonts w:ascii="Garamond" w:hAnsi="Garamond"/>
          <w:sz w:val="24"/>
          <w:szCs w:val="24"/>
        </w:rPr>
      </w:pPr>
      <w:r w:rsidRPr="00CE689D">
        <w:rPr>
          <w:rFonts w:ascii="Garamond" w:hAnsi="Garamond"/>
          <w:sz w:val="24"/>
          <w:szCs w:val="24"/>
        </w:rPr>
        <w:lastRenderedPageBreak/>
        <w:t>2016</w:t>
      </w:r>
      <w:r w:rsidRPr="00CE689D">
        <w:rPr>
          <w:rFonts w:ascii="Garamond" w:hAnsi="Garamond"/>
          <w:sz w:val="24"/>
          <w:szCs w:val="24"/>
        </w:rPr>
        <w:tab/>
        <w:t>Collaborator</w:t>
      </w:r>
      <w:r w:rsidR="00C20CAB">
        <w:rPr>
          <w:rFonts w:ascii="Garamond" w:hAnsi="Garamond"/>
          <w:sz w:val="24"/>
          <w:szCs w:val="24"/>
        </w:rPr>
        <w:t>.</w:t>
      </w:r>
      <w:r w:rsidRPr="00CE689D">
        <w:rPr>
          <w:rFonts w:ascii="Garamond" w:hAnsi="Garamond"/>
          <w:sz w:val="24"/>
          <w:szCs w:val="24"/>
        </w:rPr>
        <w:t xml:space="preserve"> </w:t>
      </w:r>
      <w:r w:rsidRPr="00CE689D">
        <w:rPr>
          <w:rFonts w:ascii="Garamond" w:hAnsi="Garamond"/>
          <w:sz w:val="24"/>
          <w:szCs w:val="24"/>
        </w:rPr>
        <w:t>Health insurance and the economic consequences of health shocks in Ghana</w:t>
      </w:r>
      <w:r w:rsidRPr="00CE689D">
        <w:rPr>
          <w:rFonts w:ascii="Garamond" w:hAnsi="Garamond"/>
          <w:sz w:val="24"/>
          <w:szCs w:val="24"/>
        </w:rPr>
        <w:t xml:space="preserve"> (AERC)</w:t>
      </w:r>
    </w:p>
    <w:p w14:paraId="7A8E1147" w14:textId="17C1ABEB" w:rsidR="00E6196F" w:rsidRPr="00CE689D" w:rsidRDefault="00E6196F" w:rsidP="00CE689D">
      <w:pPr>
        <w:spacing w:line="240" w:lineRule="auto"/>
        <w:ind w:left="1440" w:hanging="1440"/>
        <w:jc w:val="both"/>
        <w:rPr>
          <w:rFonts w:ascii="Garamond" w:hAnsi="Garamond"/>
          <w:b/>
          <w:bCs/>
          <w:sz w:val="24"/>
          <w:szCs w:val="24"/>
        </w:rPr>
      </w:pPr>
      <w:r w:rsidRPr="00CE689D">
        <w:rPr>
          <w:rFonts w:ascii="Garamond" w:hAnsi="Garamond"/>
          <w:b/>
          <w:bCs/>
          <w:sz w:val="24"/>
          <w:szCs w:val="24"/>
        </w:rPr>
        <w:t>Education</w:t>
      </w:r>
    </w:p>
    <w:p w14:paraId="7DA5CB55" w14:textId="77777777" w:rsidR="00E6196F" w:rsidRPr="00CE689D" w:rsidRDefault="00E6196F" w:rsidP="00CE689D">
      <w:pPr>
        <w:spacing w:line="240" w:lineRule="auto"/>
        <w:ind w:left="1440" w:hanging="1440"/>
        <w:jc w:val="both"/>
        <w:rPr>
          <w:rFonts w:ascii="Garamond" w:hAnsi="Garamond"/>
          <w:sz w:val="24"/>
          <w:szCs w:val="24"/>
        </w:rPr>
      </w:pPr>
      <w:r w:rsidRPr="00CE689D">
        <w:rPr>
          <w:rFonts w:ascii="Garamond" w:hAnsi="Garamond"/>
          <w:sz w:val="24"/>
          <w:szCs w:val="24"/>
        </w:rPr>
        <w:t xml:space="preserve">2011-2015 </w:t>
      </w:r>
      <w:r w:rsidRPr="00CE689D">
        <w:rPr>
          <w:rFonts w:ascii="Garamond" w:hAnsi="Garamond"/>
          <w:sz w:val="24"/>
          <w:szCs w:val="24"/>
        </w:rPr>
        <w:tab/>
        <w:t xml:space="preserve">University of Ibadan, Nigeria. PhD (Economics): Taught PhD </w:t>
      </w:r>
      <w:proofErr w:type="spellStart"/>
      <w:r w:rsidRPr="00CE689D">
        <w:rPr>
          <w:rFonts w:ascii="Garamond" w:hAnsi="Garamond"/>
          <w:sz w:val="24"/>
          <w:szCs w:val="24"/>
        </w:rPr>
        <w:t>programme</w:t>
      </w:r>
      <w:proofErr w:type="spellEnd"/>
      <w:r w:rsidRPr="00CE689D">
        <w:rPr>
          <w:rFonts w:ascii="Garamond" w:hAnsi="Garamond"/>
          <w:sz w:val="24"/>
          <w:szCs w:val="24"/>
        </w:rPr>
        <w:t xml:space="preserve"> sponsored by African Economic Research Consortium (AERC) based in Nairobi. Specialty: Public finance and health economics.</w:t>
      </w:r>
    </w:p>
    <w:p w14:paraId="5C7666F3" w14:textId="77777777" w:rsidR="00E6196F" w:rsidRPr="00CE689D" w:rsidRDefault="00E6196F" w:rsidP="00CE689D">
      <w:pPr>
        <w:spacing w:line="240" w:lineRule="auto"/>
        <w:ind w:left="1440" w:hanging="1440"/>
        <w:jc w:val="both"/>
        <w:rPr>
          <w:rFonts w:ascii="Garamond" w:hAnsi="Garamond"/>
          <w:sz w:val="24"/>
          <w:szCs w:val="24"/>
        </w:rPr>
      </w:pPr>
      <w:r w:rsidRPr="00CE689D">
        <w:rPr>
          <w:rFonts w:ascii="Garamond" w:hAnsi="Garamond"/>
          <w:sz w:val="24"/>
          <w:szCs w:val="24"/>
        </w:rPr>
        <w:t>2008-2011</w:t>
      </w:r>
      <w:r w:rsidRPr="00CE689D">
        <w:rPr>
          <w:rFonts w:ascii="Garamond" w:hAnsi="Garamond"/>
          <w:sz w:val="24"/>
          <w:szCs w:val="24"/>
        </w:rPr>
        <w:tab/>
        <w:t>University of Malawi, Malawi. Master of Arts (Economics)</w:t>
      </w:r>
    </w:p>
    <w:p w14:paraId="455867D8" w14:textId="6B94B510" w:rsidR="00E6196F" w:rsidRPr="00CE689D" w:rsidRDefault="00E6196F" w:rsidP="00CE689D">
      <w:pPr>
        <w:spacing w:line="240" w:lineRule="auto"/>
        <w:ind w:left="1440" w:hanging="1440"/>
        <w:jc w:val="both"/>
        <w:rPr>
          <w:rFonts w:ascii="Garamond" w:hAnsi="Garamond"/>
          <w:sz w:val="24"/>
          <w:szCs w:val="24"/>
        </w:rPr>
      </w:pPr>
      <w:r w:rsidRPr="00CE689D">
        <w:rPr>
          <w:rFonts w:ascii="Garamond" w:hAnsi="Garamond"/>
          <w:sz w:val="24"/>
          <w:szCs w:val="24"/>
        </w:rPr>
        <w:t>2003-2007</w:t>
      </w:r>
      <w:r w:rsidRPr="00CE689D">
        <w:rPr>
          <w:rFonts w:ascii="Garamond" w:hAnsi="Garamond"/>
          <w:sz w:val="24"/>
          <w:szCs w:val="24"/>
        </w:rPr>
        <w:tab/>
        <w:t xml:space="preserve">University of Cape Coast, Ghana. Bachelor of Arts (Economics): Economics Major, Geography Minor - Second Class </w:t>
      </w:r>
      <w:proofErr w:type="spellStart"/>
      <w:r w:rsidRPr="00CE689D">
        <w:rPr>
          <w:rFonts w:ascii="Garamond" w:hAnsi="Garamond"/>
          <w:sz w:val="24"/>
          <w:szCs w:val="24"/>
        </w:rPr>
        <w:t>Honours</w:t>
      </w:r>
      <w:proofErr w:type="spellEnd"/>
      <w:r w:rsidRPr="00CE689D">
        <w:rPr>
          <w:rFonts w:ascii="Garamond" w:hAnsi="Garamond"/>
          <w:sz w:val="24"/>
          <w:szCs w:val="24"/>
        </w:rPr>
        <w:t xml:space="preserve"> (Upper Division)</w:t>
      </w:r>
    </w:p>
    <w:p w14:paraId="6B704411" w14:textId="4E0F697A" w:rsidR="00E6196F" w:rsidRPr="00CE689D" w:rsidRDefault="00E6196F" w:rsidP="00CE689D">
      <w:pPr>
        <w:spacing w:line="240" w:lineRule="auto"/>
        <w:ind w:left="1440" w:hanging="1440"/>
        <w:jc w:val="both"/>
        <w:rPr>
          <w:rFonts w:ascii="Garamond" w:hAnsi="Garamond"/>
          <w:b/>
          <w:bCs/>
          <w:sz w:val="24"/>
          <w:szCs w:val="24"/>
        </w:rPr>
      </w:pPr>
      <w:r w:rsidRPr="00CE689D">
        <w:rPr>
          <w:rFonts w:ascii="Garamond" w:hAnsi="Garamond"/>
          <w:b/>
          <w:bCs/>
          <w:sz w:val="24"/>
          <w:szCs w:val="24"/>
        </w:rPr>
        <w:t>Selected publications</w:t>
      </w:r>
      <w:r w:rsidR="00CE689D">
        <w:rPr>
          <w:rFonts w:ascii="Garamond" w:hAnsi="Garamond"/>
          <w:b/>
          <w:bCs/>
          <w:sz w:val="24"/>
          <w:szCs w:val="24"/>
        </w:rPr>
        <w:t xml:space="preserve"> (out of 31)</w:t>
      </w:r>
    </w:p>
    <w:p w14:paraId="1F105F0B" w14:textId="4BD6C208" w:rsidR="00E6196F" w:rsidRPr="00CE689D" w:rsidRDefault="00CA56A4" w:rsidP="00CE689D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E689D">
        <w:rPr>
          <w:rFonts w:ascii="Garamond" w:hAnsi="Garamond"/>
          <w:sz w:val="24"/>
          <w:szCs w:val="24"/>
        </w:rPr>
        <w:t xml:space="preserve">Novignon et al (Forthcoming). </w:t>
      </w:r>
      <w:r w:rsidRPr="00CE689D">
        <w:rPr>
          <w:rFonts w:ascii="Garamond" w:hAnsi="Garamond"/>
          <w:sz w:val="24"/>
          <w:szCs w:val="24"/>
        </w:rPr>
        <w:t>Efficiency of malaria service delivery in selected district-level hospitals in Ghana</w:t>
      </w:r>
      <w:r w:rsidRPr="00CE689D">
        <w:rPr>
          <w:rFonts w:ascii="Garamond" w:hAnsi="Garamond"/>
          <w:sz w:val="24"/>
          <w:szCs w:val="24"/>
        </w:rPr>
        <w:t xml:space="preserve">. </w:t>
      </w:r>
      <w:r w:rsidRPr="00CE689D">
        <w:rPr>
          <w:rFonts w:ascii="Garamond" w:hAnsi="Garamond"/>
          <w:i/>
          <w:iCs/>
          <w:sz w:val="24"/>
          <w:szCs w:val="24"/>
        </w:rPr>
        <w:t>Health Systems.</w:t>
      </w:r>
      <w:r w:rsidRPr="00CE689D">
        <w:rPr>
          <w:rFonts w:ascii="Garamond" w:hAnsi="Garamond"/>
          <w:sz w:val="24"/>
          <w:szCs w:val="24"/>
        </w:rPr>
        <w:t xml:space="preserve"> Accepted November, 2021.</w:t>
      </w:r>
    </w:p>
    <w:p w14:paraId="18FFDE38" w14:textId="2ED0B816" w:rsidR="00E6196F" w:rsidRPr="00CE689D" w:rsidRDefault="00E6196F" w:rsidP="00CE689D">
      <w:pPr>
        <w:spacing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CE689D">
        <w:rPr>
          <w:rFonts w:ascii="Garamond" w:hAnsi="Garamond"/>
          <w:sz w:val="24"/>
          <w:szCs w:val="24"/>
        </w:rPr>
        <w:t xml:space="preserve">Novignon, J. </w:t>
      </w:r>
      <w:proofErr w:type="spellStart"/>
      <w:r w:rsidRPr="00CE689D">
        <w:rPr>
          <w:rFonts w:ascii="Garamond" w:hAnsi="Garamond"/>
          <w:sz w:val="24"/>
          <w:szCs w:val="24"/>
        </w:rPr>
        <w:t>Lanko</w:t>
      </w:r>
      <w:proofErr w:type="spellEnd"/>
      <w:r w:rsidRPr="00CE689D">
        <w:rPr>
          <w:rFonts w:ascii="Garamond" w:hAnsi="Garamond"/>
          <w:sz w:val="24"/>
          <w:szCs w:val="24"/>
        </w:rPr>
        <w:t xml:space="preserve">, C. and Arthur, E. (2021). Political economy and the pursuit of universal health coverage in Ghana: a case of the National Health Insurance Scheme. </w:t>
      </w:r>
      <w:r w:rsidRPr="00CE689D">
        <w:rPr>
          <w:rFonts w:ascii="Garamond" w:hAnsi="Garamond"/>
          <w:i/>
          <w:iCs/>
          <w:sz w:val="24"/>
          <w:szCs w:val="24"/>
        </w:rPr>
        <w:t>Health Policy and Planning</w:t>
      </w:r>
      <w:r w:rsidR="00CA56A4" w:rsidRPr="00CE689D">
        <w:rPr>
          <w:rFonts w:ascii="Garamond" w:hAnsi="Garamond"/>
          <w:i/>
          <w:iCs/>
          <w:sz w:val="24"/>
          <w:szCs w:val="24"/>
        </w:rPr>
        <w:t xml:space="preserve"> vol 36, Sup1, i14-i21</w:t>
      </w:r>
    </w:p>
    <w:p w14:paraId="2AFCBD39" w14:textId="77777777" w:rsidR="00E6196F" w:rsidRPr="00CE689D" w:rsidRDefault="00E6196F" w:rsidP="00CE689D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E689D">
        <w:rPr>
          <w:rFonts w:ascii="Garamond" w:hAnsi="Garamond"/>
          <w:sz w:val="24"/>
          <w:szCs w:val="24"/>
        </w:rPr>
        <w:t xml:space="preserve">Novignon, J., Atakorah, Y.B. and </w:t>
      </w:r>
      <w:proofErr w:type="spellStart"/>
      <w:r w:rsidRPr="00CE689D">
        <w:rPr>
          <w:rFonts w:ascii="Garamond" w:hAnsi="Garamond"/>
          <w:sz w:val="24"/>
          <w:szCs w:val="24"/>
        </w:rPr>
        <w:t>Chijere</w:t>
      </w:r>
      <w:proofErr w:type="spellEnd"/>
      <w:r w:rsidRPr="00CE689D">
        <w:rPr>
          <w:rFonts w:ascii="Garamond" w:hAnsi="Garamond"/>
          <w:sz w:val="24"/>
          <w:szCs w:val="24"/>
        </w:rPr>
        <w:t xml:space="preserve"> Chirwa, G., 2021. Exemption for the poor or the rich? An assessment of socioeconomic inequalities in Ghana’s national health insurance exemption policies. </w:t>
      </w:r>
      <w:r w:rsidRPr="00CE689D">
        <w:rPr>
          <w:rFonts w:ascii="Garamond" w:hAnsi="Garamond"/>
          <w:i/>
          <w:iCs/>
          <w:sz w:val="24"/>
          <w:szCs w:val="24"/>
        </w:rPr>
        <w:t>Health Policy and Planning</w:t>
      </w:r>
      <w:r w:rsidRPr="00CE689D">
        <w:rPr>
          <w:rFonts w:ascii="Garamond" w:hAnsi="Garamond"/>
          <w:sz w:val="24"/>
          <w:szCs w:val="24"/>
        </w:rPr>
        <w:t>.</w:t>
      </w:r>
    </w:p>
    <w:p w14:paraId="3CF3F3FF" w14:textId="77777777" w:rsidR="00E6196F" w:rsidRPr="00CE689D" w:rsidRDefault="00E6196F" w:rsidP="00CE689D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CE689D">
        <w:rPr>
          <w:rFonts w:ascii="Garamond" w:hAnsi="Garamond"/>
          <w:sz w:val="24"/>
          <w:szCs w:val="24"/>
        </w:rPr>
        <w:t>Barroy</w:t>
      </w:r>
      <w:proofErr w:type="spellEnd"/>
      <w:r w:rsidRPr="00CE689D">
        <w:rPr>
          <w:rFonts w:ascii="Garamond" w:hAnsi="Garamond"/>
          <w:sz w:val="24"/>
          <w:szCs w:val="24"/>
        </w:rPr>
        <w:t xml:space="preserve">, H., </w:t>
      </w:r>
      <w:proofErr w:type="spellStart"/>
      <w:r w:rsidRPr="00CE689D">
        <w:rPr>
          <w:rFonts w:ascii="Garamond" w:hAnsi="Garamond"/>
          <w:sz w:val="24"/>
          <w:szCs w:val="24"/>
        </w:rPr>
        <w:t>Cylus</w:t>
      </w:r>
      <w:proofErr w:type="spellEnd"/>
      <w:r w:rsidRPr="00CE689D">
        <w:rPr>
          <w:rFonts w:ascii="Garamond" w:hAnsi="Garamond"/>
          <w:sz w:val="24"/>
          <w:szCs w:val="24"/>
        </w:rPr>
        <w:t xml:space="preserve">, J., </w:t>
      </w:r>
      <w:proofErr w:type="spellStart"/>
      <w:r w:rsidRPr="00CE689D">
        <w:rPr>
          <w:rFonts w:ascii="Garamond" w:hAnsi="Garamond"/>
          <w:sz w:val="24"/>
          <w:szCs w:val="24"/>
        </w:rPr>
        <w:t>Patcharanarumol</w:t>
      </w:r>
      <w:proofErr w:type="spellEnd"/>
      <w:r w:rsidRPr="00CE689D">
        <w:rPr>
          <w:rFonts w:ascii="Garamond" w:hAnsi="Garamond"/>
          <w:sz w:val="24"/>
          <w:szCs w:val="24"/>
        </w:rPr>
        <w:t xml:space="preserve">, W., Novignon, J., </w:t>
      </w:r>
      <w:proofErr w:type="spellStart"/>
      <w:r w:rsidRPr="00CE689D">
        <w:rPr>
          <w:rFonts w:ascii="Garamond" w:hAnsi="Garamond"/>
          <w:sz w:val="24"/>
          <w:szCs w:val="24"/>
        </w:rPr>
        <w:t>Evetovits</w:t>
      </w:r>
      <w:proofErr w:type="spellEnd"/>
      <w:r w:rsidRPr="00CE689D">
        <w:rPr>
          <w:rFonts w:ascii="Garamond" w:hAnsi="Garamond"/>
          <w:sz w:val="24"/>
          <w:szCs w:val="24"/>
        </w:rPr>
        <w:t>, T. and Gupta, S., 2021. Do efficiency gains really translate into more budget for health? An assessment framework and country applications. </w:t>
      </w:r>
      <w:r w:rsidRPr="00CE689D">
        <w:rPr>
          <w:rFonts w:ascii="Garamond" w:hAnsi="Garamond"/>
          <w:i/>
          <w:iCs/>
          <w:sz w:val="24"/>
          <w:szCs w:val="24"/>
        </w:rPr>
        <w:t>Health Policy and Planning</w:t>
      </w:r>
      <w:r w:rsidRPr="00CE689D">
        <w:rPr>
          <w:rFonts w:ascii="Garamond" w:hAnsi="Garamond"/>
          <w:sz w:val="24"/>
          <w:szCs w:val="24"/>
        </w:rPr>
        <w:t>.</w:t>
      </w:r>
    </w:p>
    <w:p w14:paraId="75E451A1" w14:textId="77777777" w:rsidR="00E6196F" w:rsidRPr="00CE689D" w:rsidRDefault="00E6196F" w:rsidP="00CE689D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CE689D">
        <w:rPr>
          <w:rFonts w:ascii="Garamond" w:hAnsi="Garamond"/>
          <w:sz w:val="24"/>
          <w:szCs w:val="24"/>
        </w:rPr>
        <w:t>Pulok</w:t>
      </w:r>
      <w:proofErr w:type="spellEnd"/>
      <w:r w:rsidRPr="00CE689D">
        <w:rPr>
          <w:rFonts w:ascii="Garamond" w:hAnsi="Garamond"/>
          <w:sz w:val="24"/>
          <w:szCs w:val="24"/>
        </w:rPr>
        <w:t xml:space="preserve">, M. H., Chirwa, G. C., Novignon, J., Aizawa, T., &amp; </w:t>
      </w:r>
      <w:proofErr w:type="spellStart"/>
      <w:r w:rsidRPr="00CE689D">
        <w:rPr>
          <w:rFonts w:ascii="Garamond" w:hAnsi="Garamond"/>
          <w:sz w:val="24"/>
          <w:szCs w:val="24"/>
        </w:rPr>
        <w:t>Makate</w:t>
      </w:r>
      <w:proofErr w:type="spellEnd"/>
      <w:r w:rsidRPr="00CE689D">
        <w:rPr>
          <w:rFonts w:ascii="Garamond" w:hAnsi="Garamond"/>
          <w:sz w:val="24"/>
          <w:szCs w:val="24"/>
        </w:rPr>
        <w:t xml:space="preserve">, M. (2020). Levels of and changes in socioeconomic inequality in delivery care service: A decomposition analysis using Bangladesh Demographic Health Surveys. </w:t>
      </w:r>
      <w:proofErr w:type="spellStart"/>
      <w:r w:rsidRPr="00CE689D">
        <w:rPr>
          <w:rFonts w:ascii="Garamond" w:hAnsi="Garamond"/>
          <w:i/>
          <w:iCs/>
          <w:sz w:val="24"/>
          <w:szCs w:val="24"/>
        </w:rPr>
        <w:t>PloS</w:t>
      </w:r>
      <w:proofErr w:type="spellEnd"/>
      <w:r w:rsidRPr="00CE689D">
        <w:rPr>
          <w:rFonts w:ascii="Garamond" w:hAnsi="Garamond"/>
          <w:i/>
          <w:iCs/>
          <w:sz w:val="24"/>
          <w:szCs w:val="24"/>
        </w:rPr>
        <w:t xml:space="preserve"> one</w:t>
      </w:r>
      <w:r w:rsidRPr="00CE689D">
        <w:rPr>
          <w:rFonts w:ascii="Garamond" w:hAnsi="Garamond"/>
          <w:sz w:val="24"/>
          <w:szCs w:val="24"/>
        </w:rPr>
        <w:t>, 15(11), e0242325.</w:t>
      </w:r>
    </w:p>
    <w:p w14:paraId="531C7F14" w14:textId="77777777" w:rsidR="00E6196F" w:rsidRPr="00CE689D" w:rsidRDefault="00E6196F" w:rsidP="00CE689D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E689D">
        <w:rPr>
          <w:rFonts w:ascii="Garamond" w:hAnsi="Garamond"/>
          <w:sz w:val="24"/>
          <w:szCs w:val="24"/>
        </w:rPr>
        <w:t xml:space="preserve">Ratcliffe, H.L., Schwarz, D., Hirschhorn, L.R., </w:t>
      </w:r>
      <w:proofErr w:type="spellStart"/>
      <w:r w:rsidRPr="00CE689D">
        <w:rPr>
          <w:rFonts w:ascii="Garamond" w:hAnsi="Garamond"/>
          <w:sz w:val="24"/>
          <w:szCs w:val="24"/>
        </w:rPr>
        <w:t>Cejas</w:t>
      </w:r>
      <w:proofErr w:type="spellEnd"/>
      <w:r w:rsidRPr="00CE689D">
        <w:rPr>
          <w:rFonts w:ascii="Garamond" w:hAnsi="Garamond"/>
          <w:sz w:val="24"/>
          <w:szCs w:val="24"/>
        </w:rPr>
        <w:t xml:space="preserve">, C., Diallo, A., </w:t>
      </w:r>
      <w:proofErr w:type="spellStart"/>
      <w:r w:rsidRPr="00CE689D">
        <w:rPr>
          <w:rFonts w:ascii="Garamond" w:hAnsi="Garamond"/>
          <w:sz w:val="24"/>
          <w:szCs w:val="24"/>
        </w:rPr>
        <w:t>Elorrio</w:t>
      </w:r>
      <w:proofErr w:type="spellEnd"/>
      <w:r w:rsidRPr="00CE689D">
        <w:rPr>
          <w:rFonts w:ascii="Garamond" w:hAnsi="Garamond"/>
          <w:sz w:val="24"/>
          <w:szCs w:val="24"/>
        </w:rPr>
        <w:t xml:space="preserve">, E.G., Fifield, J., </w:t>
      </w:r>
      <w:proofErr w:type="spellStart"/>
      <w:r w:rsidRPr="00CE689D">
        <w:rPr>
          <w:rFonts w:ascii="Garamond" w:hAnsi="Garamond"/>
          <w:sz w:val="24"/>
          <w:szCs w:val="24"/>
        </w:rPr>
        <w:t>Gashumba</w:t>
      </w:r>
      <w:proofErr w:type="spellEnd"/>
      <w:r w:rsidRPr="00CE689D">
        <w:rPr>
          <w:rFonts w:ascii="Garamond" w:hAnsi="Garamond"/>
          <w:sz w:val="24"/>
          <w:szCs w:val="24"/>
        </w:rPr>
        <w:t xml:space="preserve">, D., Hartshorn, L., </w:t>
      </w:r>
      <w:proofErr w:type="spellStart"/>
      <w:r w:rsidRPr="00CE689D">
        <w:rPr>
          <w:rFonts w:ascii="Garamond" w:hAnsi="Garamond"/>
          <w:sz w:val="24"/>
          <w:szCs w:val="24"/>
        </w:rPr>
        <w:t>Leydon</w:t>
      </w:r>
      <w:proofErr w:type="spellEnd"/>
      <w:r w:rsidRPr="00CE689D">
        <w:rPr>
          <w:rFonts w:ascii="Garamond" w:hAnsi="Garamond"/>
          <w:sz w:val="24"/>
          <w:szCs w:val="24"/>
        </w:rPr>
        <w:t xml:space="preserve">, N. Novignon, J and Mohamed, M., 2019. PHC Progression Model: a novel mixed-methods tool for measuring primary health care system capacity. </w:t>
      </w:r>
      <w:r w:rsidRPr="00CE689D">
        <w:rPr>
          <w:rFonts w:ascii="Garamond" w:hAnsi="Garamond"/>
          <w:i/>
          <w:iCs/>
          <w:sz w:val="24"/>
          <w:szCs w:val="24"/>
        </w:rPr>
        <w:t>BMJ Global Health</w:t>
      </w:r>
      <w:r w:rsidRPr="00CE689D">
        <w:rPr>
          <w:rFonts w:ascii="Garamond" w:hAnsi="Garamond"/>
          <w:sz w:val="24"/>
          <w:szCs w:val="24"/>
        </w:rPr>
        <w:t>, 4(5), p.e001822.</w:t>
      </w:r>
    </w:p>
    <w:p w14:paraId="07440A32" w14:textId="77777777" w:rsidR="00E6196F" w:rsidRPr="00CE689D" w:rsidRDefault="00E6196F" w:rsidP="00CE689D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E689D">
        <w:rPr>
          <w:rFonts w:ascii="Garamond" w:hAnsi="Garamond"/>
          <w:sz w:val="24"/>
          <w:szCs w:val="24"/>
        </w:rPr>
        <w:t xml:space="preserve">Novignon, J., </w:t>
      </w:r>
      <w:proofErr w:type="spellStart"/>
      <w:r w:rsidRPr="00CE689D">
        <w:rPr>
          <w:rFonts w:ascii="Garamond" w:hAnsi="Garamond"/>
          <w:sz w:val="24"/>
          <w:szCs w:val="24"/>
        </w:rPr>
        <w:t>Djossou</w:t>
      </w:r>
      <w:proofErr w:type="spellEnd"/>
      <w:r w:rsidRPr="00CE689D">
        <w:rPr>
          <w:rFonts w:ascii="Garamond" w:hAnsi="Garamond"/>
          <w:sz w:val="24"/>
          <w:szCs w:val="24"/>
        </w:rPr>
        <w:t xml:space="preserve">, N.G. and Enemark, U., 2019. Childhood mortality, intra-household bargaining power and fertility preferences among women in Ghana. </w:t>
      </w:r>
      <w:r w:rsidRPr="00CE689D">
        <w:rPr>
          <w:rFonts w:ascii="Garamond" w:hAnsi="Garamond"/>
          <w:i/>
          <w:iCs/>
          <w:sz w:val="24"/>
          <w:szCs w:val="24"/>
        </w:rPr>
        <w:t>Reproductive health</w:t>
      </w:r>
      <w:r w:rsidRPr="00CE689D">
        <w:rPr>
          <w:rFonts w:ascii="Garamond" w:hAnsi="Garamond"/>
          <w:sz w:val="24"/>
          <w:szCs w:val="24"/>
        </w:rPr>
        <w:t>, 16(1), pp.1-12.</w:t>
      </w:r>
    </w:p>
    <w:p w14:paraId="5DC1C7DE" w14:textId="1D3EF2DA" w:rsidR="00713020" w:rsidRPr="00CE689D" w:rsidRDefault="00E6196F" w:rsidP="00CE689D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CE689D">
        <w:rPr>
          <w:rFonts w:ascii="Garamond" w:hAnsi="Garamond"/>
          <w:sz w:val="24"/>
          <w:szCs w:val="24"/>
        </w:rPr>
        <w:t>Atim</w:t>
      </w:r>
      <w:proofErr w:type="spellEnd"/>
      <w:r w:rsidRPr="00CE689D">
        <w:rPr>
          <w:rFonts w:ascii="Garamond" w:hAnsi="Garamond"/>
          <w:sz w:val="24"/>
          <w:szCs w:val="24"/>
        </w:rPr>
        <w:t xml:space="preserve">, C., Arthur, E., </w:t>
      </w:r>
      <w:proofErr w:type="spellStart"/>
      <w:r w:rsidRPr="00CE689D">
        <w:rPr>
          <w:rFonts w:ascii="Garamond" w:hAnsi="Garamond"/>
          <w:sz w:val="24"/>
          <w:szCs w:val="24"/>
        </w:rPr>
        <w:t>Achala</w:t>
      </w:r>
      <w:proofErr w:type="spellEnd"/>
      <w:r w:rsidRPr="00CE689D">
        <w:rPr>
          <w:rFonts w:ascii="Garamond" w:hAnsi="Garamond"/>
          <w:sz w:val="24"/>
          <w:szCs w:val="24"/>
        </w:rPr>
        <w:t xml:space="preserve">, D.M. and Novignon, J., 2019. An Assessment of Domestic Financing for Reproductive, Maternal, Neonatal and Child Health in Sub-Saharan Africa: Potential Gains and Fiscal Space. </w:t>
      </w:r>
      <w:r w:rsidRPr="00CE689D">
        <w:rPr>
          <w:rFonts w:ascii="Garamond" w:hAnsi="Garamond"/>
          <w:i/>
          <w:iCs/>
          <w:sz w:val="24"/>
          <w:szCs w:val="24"/>
        </w:rPr>
        <w:t>Applied health economics and health policy</w:t>
      </w:r>
      <w:r w:rsidRPr="00CE689D">
        <w:rPr>
          <w:rFonts w:ascii="Garamond" w:hAnsi="Garamond"/>
          <w:sz w:val="24"/>
          <w:szCs w:val="24"/>
        </w:rPr>
        <w:t>, pp.1-11.</w:t>
      </w:r>
    </w:p>
    <w:p w14:paraId="4B209042" w14:textId="2B358E0D" w:rsidR="00742F23" w:rsidRPr="00CE689D" w:rsidRDefault="00742F23" w:rsidP="00CE689D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sectPr w:rsidR="00742F23" w:rsidRPr="00CE6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B6584"/>
    <w:multiLevelType w:val="hybridMultilevel"/>
    <w:tmpl w:val="7A6C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S2NDUyNjMxN7U0MjdQ0lEKTi0uzszPAykwqgUAvC9FkCwAAAA="/>
  </w:docVars>
  <w:rsids>
    <w:rsidRoot w:val="001B7A9F"/>
    <w:rsid w:val="000277B7"/>
    <w:rsid w:val="000738C9"/>
    <w:rsid w:val="001B7A9F"/>
    <w:rsid w:val="003B644F"/>
    <w:rsid w:val="004735AC"/>
    <w:rsid w:val="00487498"/>
    <w:rsid w:val="00663009"/>
    <w:rsid w:val="00713020"/>
    <w:rsid w:val="00742F23"/>
    <w:rsid w:val="007B46B6"/>
    <w:rsid w:val="007D7D44"/>
    <w:rsid w:val="00825DC4"/>
    <w:rsid w:val="008372C6"/>
    <w:rsid w:val="009049CD"/>
    <w:rsid w:val="00A211F9"/>
    <w:rsid w:val="00C20CAB"/>
    <w:rsid w:val="00CA56A4"/>
    <w:rsid w:val="00CE689D"/>
    <w:rsid w:val="00E6196F"/>
    <w:rsid w:val="00F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C3BA"/>
  <w15:chartTrackingRefBased/>
  <w15:docId w15:val="{AAE9C208-A439-4794-B7E2-7EAE22A1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12E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742F2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619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Novignon</dc:creator>
  <cp:keywords/>
  <dc:description/>
  <cp:lastModifiedBy>Jacob Novignon</cp:lastModifiedBy>
  <cp:revision>2</cp:revision>
  <dcterms:created xsi:type="dcterms:W3CDTF">2021-11-29T15:59:00Z</dcterms:created>
  <dcterms:modified xsi:type="dcterms:W3CDTF">2021-11-29T15:59:00Z</dcterms:modified>
</cp:coreProperties>
</file>